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C4ED2" w:rsidRPr="000C0FAB" w:rsidRDefault="008C4ED2">
      <w:pPr>
        <w:jc w:val="both"/>
        <w:rPr>
          <w:rFonts w:ascii="Verdana" w:eastAsia="Arial" w:hAnsi="Verdana" w:cs="Arial"/>
          <w:b/>
          <w:sz w:val="22"/>
          <w:szCs w:val="22"/>
        </w:rPr>
      </w:pPr>
    </w:p>
    <w:p w14:paraId="00000002" w14:textId="77777777" w:rsidR="008C4ED2" w:rsidRPr="000C0FAB" w:rsidRDefault="0072476F">
      <w:pPr>
        <w:numPr>
          <w:ilvl w:val="0"/>
          <w:numId w:val="1"/>
        </w:numPr>
        <w:pBdr>
          <w:top w:val="nil"/>
          <w:left w:val="nil"/>
          <w:bottom w:val="nil"/>
          <w:right w:val="nil"/>
          <w:between w:val="nil"/>
        </w:pBdr>
        <w:jc w:val="both"/>
        <w:rPr>
          <w:rFonts w:ascii="Verdana" w:eastAsia="Arial" w:hAnsi="Verdana" w:cs="Arial"/>
          <w:b/>
          <w:color w:val="000000"/>
          <w:sz w:val="22"/>
          <w:szCs w:val="22"/>
        </w:rPr>
      </w:pPr>
      <w:r w:rsidRPr="000C0FAB">
        <w:rPr>
          <w:rFonts w:ascii="Verdana" w:eastAsia="Arial" w:hAnsi="Verdana" w:cs="Arial"/>
          <w:b/>
          <w:color w:val="000000"/>
          <w:sz w:val="22"/>
          <w:szCs w:val="22"/>
        </w:rPr>
        <w:t>Consideraciones</w:t>
      </w:r>
    </w:p>
    <w:p w14:paraId="00000003" w14:textId="77777777" w:rsidR="008C4ED2" w:rsidRPr="000C0FAB" w:rsidRDefault="008C4ED2">
      <w:pPr>
        <w:jc w:val="both"/>
        <w:rPr>
          <w:rFonts w:ascii="Verdana" w:eastAsia="Arial" w:hAnsi="Verdana" w:cs="Arial"/>
          <w:sz w:val="22"/>
          <w:szCs w:val="22"/>
        </w:rPr>
      </w:pPr>
    </w:p>
    <w:p w14:paraId="00000004" w14:textId="60531D11" w:rsidR="008C4ED2" w:rsidRPr="000C0FAB" w:rsidRDefault="0072476F">
      <w:pPr>
        <w:jc w:val="both"/>
        <w:rPr>
          <w:rFonts w:ascii="Verdana" w:eastAsia="Arial" w:hAnsi="Verdana" w:cs="Arial"/>
          <w:sz w:val="22"/>
          <w:szCs w:val="22"/>
        </w:rPr>
      </w:pPr>
      <w:r w:rsidRPr="000C0FAB">
        <w:rPr>
          <w:rFonts w:ascii="Verdana" w:eastAsia="Arial" w:hAnsi="Verdana" w:cs="Arial"/>
          <w:sz w:val="22"/>
          <w:szCs w:val="22"/>
        </w:rPr>
        <w:t xml:space="preserve">En </w:t>
      </w:r>
      <w:r w:rsidR="00EB05B7" w:rsidRPr="000C0FAB">
        <w:rPr>
          <w:rFonts w:ascii="Verdana" w:eastAsia="Arial" w:hAnsi="Verdana" w:cs="Arial"/>
          <w:sz w:val="22"/>
          <w:szCs w:val="22"/>
        </w:rPr>
        <w:t>desarrollo d</w:t>
      </w:r>
      <w:r w:rsidRPr="000C0FAB">
        <w:rPr>
          <w:rFonts w:ascii="Verdana" w:eastAsia="Arial" w:hAnsi="Verdana" w:cs="Arial"/>
          <w:sz w:val="22"/>
          <w:szCs w:val="22"/>
        </w:rPr>
        <w:t>el deber de colaboración</w:t>
      </w:r>
      <w:r w:rsidR="00181701" w:rsidRPr="000C0FAB">
        <w:rPr>
          <w:rFonts w:ascii="Verdana" w:eastAsia="Arial" w:hAnsi="Verdana" w:cs="Arial"/>
          <w:sz w:val="22"/>
          <w:szCs w:val="22"/>
        </w:rPr>
        <w:t xml:space="preserve"> </w:t>
      </w:r>
      <w:r w:rsidR="002C6F0E" w:rsidRPr="000C0FAB">
        <w:rPr>
          <w:rFonts w:ascii="Verdana" w:eastAsia="Arial" w:hAnsi="Verdana" w:cs="Arial"/>
          <w:sz w:val="22"/>
          <w:szCs w:val="22"/>
        </w:rPr>
        <w:t>previsto en el artículo 113 de la Constitución Política</w:t>
      </w:r>
      <w:r w:rsidRPr="000C0FAB">
        <w:rPr>
          <w:rFonts w:ascii="Verdana" w:eastAsia="Arial" w:hAnsi="Verdana" w:cs="Arial"/>
          <w:sz w:val="22"/>
          <w:szCs w:val="22"/>
        </w:rPr>
        <w:t xml:space="preserve">, la Superintendencia Financiera de Colombia pone en conocimiento </w:t>
      </w:r>
      <w:r w:rsidR="00631068" w:rsidRPr="000C0FAB">
        <w:rPr>
          <w:rFonts w:ascii="Verdana" w:eastAsia="Arial" w:hAnsi="Verdana" w:cs="Arial"/>
          <w:sz w:val="22"/>
          <w:szCs w:val="22"/>
        </w:rPr>
        <w:t xml:space="preserve">los </w:t>
      </w:r>
      <w:r w:rsidRPr="000C0FAB">
        <w:rPr>
          <w:rFonts w:ascii="Verdana" w:eastAsia="Arial" w:hAnsi="Verdana" w:cs="Arial"/>
          <w:sz w:val="22"/>
          <w:szCs w:val="22"/>
        </w:rPr>
        <w:t>formatos estandarizados creados por la Fiscalía General de la Nación para el envío de la información financiera solicitada a los establecimientos bancarios a través de órdenes de policía judicial previamente autorizadas por un juez de control de garantías.</w:t>
      </w:r>
    </w:p>
    <w:p w14:paraId="228C52E8" w14:textId="77777777" w:rsidR="00596646" w:rsidRPr="000C0FAB" w:rsidRDefault="00596646">
      <w:pPr>
        <w:jc w:val="both"/>
        <w:rPr>
          <w:rFonts w:ascii="Verdana" w:eastAsia="Arial" w:hAnsi="Verdana" w:cs="Arial"/>
          <w:sz w:val="22"/>
          <w:szCs w:val="22"/>
        </w:rPr>
      </w:pPr>
    </w:p>
    <w:p w14:paraId="3D59760D" w14:textId="1545A157" w:rsidR="00596646" w:rsidRPr="000C0FAB" w:rsidRDefault="00596646">
      <w:pPr>
        <w:jc w:val="both"/>
        <w:rPr>
          <w:rFonts w:ascii="Verdana" w:eastAsia="Arial" w:hAnsi="Verdana" w:cs="Arial"/>
          <w:sz w:val="22"/>
          <w:szCs w:val="22"/>
        </w:rPr>
      </w:pPr>
      <w:r w:rsidRPr="000C0FAB">
        <w:rPr>
          <w:rFonts w:ascii="Verdana" w:eastAsia="Arial" w:hAnsi="Verdana" w:cs="Arial"/>
          <w:sz w:val="22"/>
          <w:szCs w:val="22"/>
        </w:rPr>
        <w:t>La remisión de la información objeto de requerimiento debe realizarse garantizando el cumplimiento del régimen de protección de datos personales establecido en la Ley 1581 de 2012, particularmente en lo que respecta al tratamiento de datos sensibles y la seguridad de la información, sin perjuicio de lo ordenado por la autoridad judicial competente.</w:t>
      </w:r>
    </w:p>
    <w:p w14:paraId="2DD633EE" w14:textId="77777777" w:rsidR="0065200B" w:rsidRPr="000C0FAB" w:rsidRDefault="0065200B">
      <w:pPr>
        <w:jc w:val="both"/>
        <w:rPr>
          <w:rFonts w:ascii="Verdana" w:eastAsia="Arial" w:hAnsi="Verdana" w:cs="Arial"/>
          <w:sz w:val="22"/>
          <w:szCs w:val="22"/>
        </w:rPr>
      </w:pPr>
    </w:p>
    <w:p w14:paraId="59B15C0C" w14:textId="7F755A14" w:rsidR="0065200B" w:rsidRPr="000C0FAB" w:rsidRDefault="0065200B">
      <w:pPr>
        <w:jc w:val="both"/>
        <w:rPr>
          <w:rFonts w:ascii="Verdana" w:eastAsia="Arial" w:hAnsi="Verdana" w:cs="Arial"/>
          <w:sz w:val="22"/>
          <w:szCs w:val="22"/>
        </w:rPr>
      </w:pPr>
      <w:r w:rsidRPr="000C0FAB">
        <w:rPr>
          <w:rFonts w:ascii="Verdana" w:eastAsia="Arial" w:hAnsi="Verdana" w:cs="Arial"/>
          <w:sz w:val="22"/>
          <w:szCs w:val="22"/>
        </w:rPr>
        <w:t xml:space="preserve">En todos los casos, el diligenciamiento y remisión </w:t>
      </w:r>
      <w:r w:rsidR="00E00185" w:rsidRPr="000C0FAB">
        <w:rPr>
          <w:rFonts w:ascii="Verdana" w:eastAsia="Arial" w:hAnsi="Verdana" w:cs="Arial"/>
          <w:sz w:val="22"/>
          <w:szCs w:val="22"/>
        </w:rPr>
        <w:t>de los anexos</w:t>
      </w:r>
      <w:r w:rsidR="00922F70" w:rsidRPr="000C0FAB">
        <w:rPr>
          <w:rFonts w:ascii="Verdana" w:eastAsia="Arial" w:hAnsi="Verdana" w:cs="Arial"/>
          <w:sz w:val="22"/>
          <w:szCs w:val="22"/>
        </w:rPr>
        <w:t xml:space="preserve"> definidos para responder a los requerimientos de la FGN debe atender </w:t>
      </w:r>
      <w:r w:rsidR="003C0052" w:rsidRPr="000C0FAB">
        <w:rPr>
          <w:rFonts w:ascii="Verdana" w:eastAsia="Arial" w:hAnsi="Verdana" w:cs="Arial"/>
          <w:sz w:val="22"/>
          <w:szCs w:val="22"/>
        </w:rPr>
        <w:t xml:space="preserve">únicamente </w:t>
      </w:r>
      <w:r w:rsidR="00922F70" w:rsidRPr="000C0FAB">
        <w:rPr>
          <w:rFonts w:ascii="Verdana" w:eastAsia="Arial" w:hAnsi="Verdana" w:cs="Arial"/>
          <w:sz w:val="22"/>
          <w:szCs w:val="22"/>
        </w:rPr>
        <w:t xml:space="preserve">a la información expresamente requerida en las </w:t>
      </w:r>
      <w:r w:rsidR="00E42EEC" w:rsidRPr="000C0FAB">
        <w:rPr>
          <w:rFonts w:ascii="Verdana" w:eastAsia="Arial" w:hAnsi="Verdana" w:cs="Arial"/>
          <w:sz w:val="22"/>
          <w:szCs w:val="22"/>
        </w:rPr>
        <w:t>ó</w:t>
      </w:r>
      <w:r w:rsidR="00922F70" w:rsidRPr="000C0FAB">
        <w:rPr>
          <w:rFonts w:ascii="Verdana" w:eastAsia="Arial" w:hAnsi="Verdana" w:cs="Arial"/>
          <w:sz w:val="22"/>
          <w:szCs w:val="22"/>
        </w:rPr>
        <w:t xml:space="preserve">rdenes judiciales correspondientes </w:t>
      </w:r>
      <w:r w:rsidR="00492FE6" w:rsidRPr="000C0FAB">
        <w:rPr>
          <w:rFonts w:ascii="Verdana" w:eastAsia="Arial" w:hAnsi="Verdana" w:cs="Arial"/>
          <w:sz w:val="22"/>
          <w:szCs w:val="22"/>
        </w:rPr>
        <w:t>y</w:t>
      </w:r>
      <w:r w:rsidR="00922F70" w:rsidRPr="000C0FAB">
        <w:rPr>
          <w:rFonts w:ascii="Verdana" w:eastAsia="Arial" w:hAnsi="Verdana" w:cs="Arial"/>
          <w:sz w:val="22"/>
          <w:szCs w:val="22"/>
        </w:rPr>
        <w:t xml:space="preserve"> en la legislación aplicable. Esta información debe remitirse directamente a la FGN, y </w:t>
      </w:r>
      <w:r w:rsidR="00D029A8" w:rsidRPr="000C0FAB">
        <w:rPr>
          <w:rFonts w:ascii="Verdana" w:eastAsia="Arial" w:hAnsi="Verdana" w:cs="Arial"/>
          <w:sz w:val="22"/>
          <w:szCs w:val="22"/>
        </w:rPr>
        <w:t>no</w:t>
      </w:r>
      <w:r w:rsidR="00922F70" w:rsidRPr="000C0FAB">
        <w:rPr>
          <w:rFonts w:ascii="Verdana" w:eastAsia="Arial" w:hAnsi="Verdana" w:cs="Arial"/>
          <w:sz w:val="22"/>
          <w:szCs w:val="22"/>
        </w:rPr>
        <w:t xml:space="preserve"> debe ser </w:t>
      </w:r>
      <w:r w:rsidR="00D029A8" w:rsidRPr="000C0FAB">
        <w:rPr>
          <w:rFonts w:ascii="Verdana" w:eastAsia="Arial" w:hAnsi="Verdana" w:cs="Arial"/>
          <w:sz w:val="22"/>
          <w:szCs w:val="22"/>
        </w:rPr>
        <w:t xml:space="preserve">enviada por ningún canal a la SFC. </w:t>
      </w:r>
    </w:p>
    <w:p w14:paraId="00000005" w14:textId="77777777" w:rsidR="008C4ED2" w:rsidRPr="000C0FAB" w:rsidRDefault="008C4ED2">
      <w:pPr>
        <w:jc w:val="both"/>
        <w:rPr>
          <w:rFonts w:ascii="Verdana" w:eastAsia="Arial" w:hAnsi="Verdana" w:cs="Arial"/>
          <w:sz w:val="22"/>
          <w:szCs w:val="22"/>
        </w:rPr>
      </w:pPr>
    </w:p>
    <w:p w14:paraId="00000006" w14:textId="77777777" w:rsidR="008C4ED2" w:rsidRPr="000C0FAB" w:rsidRDefault="0072476F">
      <w:pPr>
        <w:numPr>
          <w:ilvl w:val="0"/>
          <w:numId w:val="1"/>
        </w:numPr>
        <w:pBdr>
          <w:top w:val="nil"/>
          <w:left w:val="nil"/>
          <w:bottom w:val="nil"/>
          <w:right w:val="nil"/>
          <w:between w:val="nil"/>
        </w:pBdr>
        <w:jc w:val="both"/>
        <w:rPr>
          <w:rFonts w:ascii="Verdana" w:eastAsia="Arial" w:hAnsi="Verdana" w:cs="Arial"/>
          <w:b/>
          <w:color w:val="000000"/>
          <w:sz w:val="22"/>
          <w:szCs w:val="22"/>
        </w:rPr>
      </w:pPr>
      <w:r w:rsidRPr="000C0FAB">
        <w:rPr>
          <w:rFonts w:ascii="Verdana" w:eastAsia="Arial" w:hAnsi="Verdana" w:cs="Arial"/>
          <w:b/>
          <w:color w:val="000000"/>
          <w:sz w:val="22"/>
          <w:szCs w:val="22"/>
        </w:rPr>
        <w:t>Procedimiento para la remisión de información</w:t>
      </w:r>
    </w:p>
    <w:p w14:paraId="00000007" w14:textId="77777777" w:rsidR="008C4ED2" w:rsidRPr="000C0FAB" w:rsidRDefault="008C4ED2">
      <w:pPr>
        <w:jc w:val="both"/>
        <w:rPr>
          <w:rFonts w:ascii="Verdana" w:eastAsia="Arial" w:hAnsi="Verdana" w:cs="Arial"/>
          <w:sz w:val="22"/>
          <w:szCs w:val="22"/>
        </w:rPr>
      </w:pPr>
    </w:p>
    <w:p w14:paraId="00000008" w14:textId="012CB2A2" w:rsidR="008C4ED2" w:rsidRPr="000C0FAB" w:rsidRDefault="0072476F">
      <w:pPr>
        <w:jc w:val="both"/>
        <w:rPr>
          <w:rFonts w:ascii="Verdana" w:eastAsia="Arial" w:hAnsi="Verdana" w:cs="Arial"/>
          <w:sz w:val="22"/>
          <w:szCs w:val="22"/>
        </w:rPr>
      </w:pPr>
      <w:r w:rsidRPr="000C0FAB">
        <w:rPr>
          <w:rFonts w:ascii="Verdana" w:eastAsia="Arial" w:hAnsi="Verdana" w:cs="Arial"/>
          <w:sz w:val="22"/>
          <w:szCs w:val="22"/>
        </w:rPr>
        <w:t xml:space="preserve">La recepción de la información requerida por la Fiscalía General de la Nación mediante los formatos estandarizados anexos al presente documento deberá remitirse única y exclusivamente a través del convenio </w:t>
      </w:r>
      <w:r w:rsidRPr="000C0FAB">
        <w:rPr>
          <w:rFonts w:ascii="Verdana" w:eastAsia="Arial" w:hAnsi="Verdana" w:cs="Arial"/>
          <w:i/>
          <w:sz w:val="22"/>
          <w:szCs w:val="22"/>
        </w:rPr>
        <w:t>“Fusiondata</w:t>
      </w:r>
      <w:r w:rsidRPr="000C0FAB">
        <w:rPr>
          <w:rFonts w:ascii="Verdana" w:eastAsia="Arial" w:hAnsi="Verdana" w:cs="Arial"/>
          <w:iCs/>
          <w:sz w:val="22"/>
          <w:szCs w:val="22"/>
        </w:rPr>
        <w:t>”</w:t>
      </w:r>
      <w:r w:rsidR="00913427" w:rsidRPr="000C0FAB">
        <w:rPr>
          <w:rFonts w:ascii="Verdana" w:eastAsia="Arial" w:hAnsi="Verdana" w:cs="Arial"/>
          <w:iCs/>
          <w:sz w:val="22"/>
          <w:szCs w:val="22"/>
        </w:rPr>
        <w:t xml:space="preserve"> </w:t>
      </w:r>
      <w:r w:rsidR="008262B7" w:rsidRPr="000C0FAB">
        <w:rPr>
          <w:rFonts w:ascii="Verdana" w:eastAsia="Arial" w:hAnsi="Verdana" w:cs="Arial"/>
          <w:iCs/>
          <w:sz w:val="22"/>
          <w:szCs w:val="22"/>
        </w:rPr>
        <w:t>(Canal definido por la FGN)</w:t>
      </w:r>
      <w:r w:rsidRPr="000C0FAB">
        <w:rPr>
          <w:rFonts w:ascii="Verdana" w:eastAsia="Arial" w:hAnsi="Verdana" w:cs="Arial"/>
          <w:i/>
          <w:sz w:val="22"/>
          <w:szCs w:val="22"/>
        </w:rPr>
        <w:t>,</w:t>
      </w:r>
      <w:r w:rsidRPr="000C0FAB">
        <w:rPr>
          <w:rFonts w:ascii="Verdana" w:eastAsia="Arial" w:hAnsi="Verdana" w:cs="Arial"/>
          <w:sz w:val="22"/>
          <w:szCs w:val="22"/>
        </w:rPr>
        <w:t xml:space="preserve"> herramienta tecnológica de intercambio de información entre la Fiscalía General de la Nación y los establecimientos bancarios. </w:t>
      </w:r>
    </w:p>
    <w:p w14:paraId="00000009" w14:textId="77777777" w:rsidR="008C4ED2" w:rsidRPr="000C0FAB" w:rsidRDefault="008C4ED2">
      <w:pPr>
        <w:jc w:val="both"/>
        <w:rPr>
          <w:rFonts w:ascii="Verdana" w:eastAsia="Arial" w:hAnsi="Verdana" w:cs="Arial"/>
          <w:sz w:val="22"/>
          <w:szCs w:val="22"/>
        </w:rPr>
      </w:pPr>
    </w:p>
    <w:p w14:paraId="0000000A" w14:textId="77777777" w:rsidR="008C4ED2" w:rsidRPr="000C0FAB" w:rsidRDefault="0072476F">
      <w:pPr>
        <w:jc w:val="both"/>
        <w:rPr>
          <w:rFonts w:ascii="Verdana" w:eastAsia="Arial" w:hAnsi="Verdana" w:cs="Arial"/>
          <w:sz w:val="22"/>
          <w:szCs w:val="22"/>
        </w:rPr>
      </w:pPr>
      <w:r w:rsidRPr="000C0FAB">
        <w:rPr>
          <w:rFonts w:ascii="Verdana" w:eastAsia="Arial" w:hAnsi="Verdana" w:cs="Arial"/>
          <w:sz w:val="22"/>
          <w:szCs w:val="22"/>
        </w:rPr>
        <w:t>La información solicitada debe ser diligenciada e ingresada en los formatos estandarizados extrayéndola directamente de los sistemas de información de cada entidad. La remisión de la información en estos formatos no excluye la solicitud del envío de los elementos originarios.</w:t>
      </w:r>
    </w:p>
    <w:p w14:paraId="0000000B" w14:textId="77777777" w:rsidR="008C4ED2" w:rsidRPr="000C0FAB" w:rsidRDefault="008C4ED2">
      <w:pPr>
        <w:jc w:val="both"/>
        <w:rPr>
          <w:rFonts w:ascii="Verdana" w:eastAsia="Arial" w:hAnsi="Verdana" w:cs="Arial"/>
          <w:sz w:val="22"/>
          <w:szCs w:val="22"/>
        </w:rPr>
      </w:pPr>
    </w:p>
    <w:p w14:paraId="0000000C" w14:textId="09C80623" w:rsidR="008C4ED2" w:rsidRPr="000C0FAB" w:rsidRDefault="0072476F">
      <w:pPr>
        <w:jc w:val="both"/>
        <w:rPr>
          <w:rFonts w:ascii="Verdana" w:eastAsia="Arial" w:hAnsi="Verdana" w:cs="Arial"/>
          <w:sz w:val="22"/>
          <w:szCs w:val="22"/>
        </w:rPr>
      </w:pPr>
      <w:r w:rsidRPr="000C0FAB">
        <w:rPr>
          <w:rFonts w:ascii="Verdana" w:eastAsia="Arial" w:hAnsi="Verdana" w:cs="Arial"/>
          <w:sz w:val="22"/>
          <w:szCs w:val="22"/>
        </w:rPr>
        <w:t xml:space="preserve">La entidad vigilada deberá remitir en los formatos estandarizados, todos los movimientos que reposen en sus sistemas, </w:t>
      </w:r>
      <w:r w:rsidR="00D3634B" w:rsidRPr="000C0FAB">
        <w:rPr>
          <w:rFonts w:ascii="Verdana" w:eastAsia="Arial" w:hAnsi="Verdana" w:cs="Arial"/>
          <w:sz w:val="22"/>
          <w:szCs w:val="22"/>
        </w:rPr>
        <w:t xml:space="preserve">en los términos requeridos en las órdenes judiciales correspondientes, </w:t>
      </w:r>
      <w:r w:rsidRPr="000C0FAB">
        <w:rPr>
          <w:rFonts w:ascii="Verdana" w:eastAsia="Arial" w:hAnsi="Verdana" w:cs="Arial"/>
          <w:sz w:val="22"/>
          <w:szCs w:val="22"/>
        </w:rPr>
        <w:t xml:space="preserve">de acuerdo con las normas definidas en el EOSF y el Código de Comercio en materia de conservación de documentos. </w:t>
      </w:r>
    </w:p>
    <w:p w14:paraId="0000000D" w14:textId="77777777" w:rsidR="008C4ED2" w:rsidRPr="000C0FAB" w:rsidRDefault="008C4ED2">
      <w:pPr>
        <w:jc w:val="both"/>
        <w:rPr>
          <w:rFonts w:ascii="Verdana" w:eastAsia="Arial" w:hAnsi="Verdana" w:cs="Arial"/>
          <w:sz w:val="22"/>
          <w:szCs w:val="22"/>
        </w:rPr>
      </w:pPr>
    </w:p>
    <w:p w14:paraId="7043A427" w14:textId="7E69074D" w:rsidR="005C61DF" w:rsidRPr="000C0FAB" w:rsidRDefault="00021410" w:rsidP="005C61DF">
      <w:pPr>
        <w:jc w:val="both"/>
        <w:rPr>
          <w:rFonts w:ascii="Verdana" w:eastAsia="Arial" w:hAnsi="Verdana" w:cs="Arial"/>
          <w:sz w:val="22"/>
          <w:szCs w:val="22"/>
        </w:rPr>
      </w:pPr>
      <w:r w:rsidRPr="000C0FAB">
        <w:rPr>
          <w:rFonts w:ascii="Verdana" w:eastAsia="Arial" w:hAnsi="Verdana" w:cs="Arial"/>
          <w:bCs/>
          <w:sz w:val="22"/>
          <w:szCs w:val="22"/>
        </w:rPr>
        <w:t>E</w:t>
      </w:r>
      <w:r w:rsidR="00676374" w:rsidRPr="000C0FAB">
        <w:rPr>
          <w:rFonts w:ascii="Verdana" w:eastAsia="Arial" w:hAnsi="Verdana" w:cs="Arial"/>
          <w:bCs/>
          <w:sz w:val="22"/>
          <w:szCs w:val="22"/>
        </w:rPr>
        <w:t>l diligenciamiento de estas plantillas no reemplaza la obligación de remitir la copia de los soportes documentales de las transacciones registradas en los archivo</w:t>
      </w:r>
      <w:r w:rsidR="0014104A" w:rsidRPr="000C0FAB">
        <w:rPr>
          <w:rFonts w:ascii="Verdana" w:eastAsia="Arial" w:hAnsi="Verdana" w:cs="Arial"/>
          <w:bCs/>
          <w:sz w:val="22"/>
          <w:szCs w:val="22"/>
        </w:rPr>
        <w:t>s</w:t>
      </w:r>
      <w:r w:rsidR="00676374" w:rsidRPr="000C0FAB">
        <w:rPr>
          <w:rFonts w:ascii="Verdana" w:eastAsia="Arial" w:hAnsi="Verdana" w:cs="Arial"/>
          <w:bCs/>
          <w:sz w:val="22"/>
          <w:szCs w:val="22"/>
        </w:rPr>
        <w:t xml:space="preserve"> de </w:t>
      </w:r>
      <w:r w:rsidR="0014104A" w:rsidRPr="000C0FAB">
        <w:rPr>
          <w:rFonts w:ascii="Verdana" w:eastAsia="Arial" w:hAnsi="Verdana" w:cs="Arial"/>
          <w:bCs/>
          <w:sz w:val="22"/>
          <w:szCs w:val="22"/>
        </w:rPr>
        <w:t>Excel</w:t>
      </w:r>
      <w:r w:rsidR="005C61DF" w:rsidRPr="000C0FAB">
        <w:rPr>
          <w:rFonts w:ascii="Verdana" w:eastAsia="Arial" w:hAnsi="Verdana" w:cs="Arial"/>
          <w:bCs/>
          <w:sz w:val="22"/>
          <w:szCs w:val="22"/>
        </w:rPr>
        <w:t xml:space="preserve"> cuando corresponda de acuerdo con la ley aplicable. </w:t>
      </w:r>
    </w:p>
    <w:p w14:paraId="0000000F" w14:textId="77777777" w:rsidR="008C4ED2" w:rsidRPr="000C0FAB" w:rsidRDefault="008C4ED2">
      <w:pPr>
        <w:jc w:val="both"/>
        <w:rPr>
          <w:rFonts w:ascii="Verdana" w:eastAsia="Arial" w:hAnsi="Verdana" w:cs="Arial"/>
          <w:sz w:val="22"/>
          <w:szCs w:val="22"/>
        </w:rPr>
      </w:pPr>
    </w:p>
    <w:p w14:paraId="00000010" w14:textId="77777777" w:rsidR="008C4ED2" w:rsidRPr="000C0FAB" w:rsidRDefault="0072476F">
      <w:pPr>
        <w:jc w:val="both"/>
        <w:rPr>
          <w:rFonts w:ascii="Verdana" w:eastAsia="Arial" w:hAnsi="Verdana" w:cs="Arial"/>
          <w:sz w:val="22"/>
          <w:szCs w:val="22"/>
        </w:rPr>
      </w:pPr>
      <w:r w:rsidRPr="000C0FAB">
        <w:rPr>
          <w:rFonts w:ascii="Verdana" w:eastAsia="Arial" w:hAnsi="Verdana" w:cs="Arial"/>
          <w:sz w:val="22"/>
          <w:szCs w:val="22"/>
        </w:rPr>
        <w:t xml:space="preserve"> </w:t>
      </w:r>
    </w:p>
    <w:p w14:paraId="00000011" w14:textId="77777777" w:rsidR="008C4ED2" w:rsidRPr="000C0FAB" w:rsidRDefault="0072476F">
      <w:pPr>
        <w:numPr>
          <w:ilvl w:val="0"/>
          <w:numId w:val="1"/>
        </w:numPr>
        <w:pBdr>
          <w:top w:val="nil"/>
          <w:left w:val="nil"/>
          <w:bottom w:val="nil"/>
          <w:right w:val="nil"/>
          <w:between w:val="nil"/>
        </w:pBdr>
        <w:jc w:val="both"/>
        <w:rPr>
          <w:rFonts w:ascii="Verdana" w:eastAsia="Arial" w:hAnsi="Verdana" w:cs="Arial"/>
          <w:b/>
          <w:color w:val="000000"/>
          <w:sz w:val="22"/>
          <w:szCs w:val="22"/>
        </w:rPr>
      </w:pPr>
      <w:r w:rsidRPr="000C0FAB">
        <w:rPr>
          <w:rFonts w:ascii="Verdana" w:eastAsia="Arial" w:hAnsi="Verdana" w:cs="Arial"/>
          <w:b/>
          <w:color w:val="000000"/>
          <w:sz w:val="22"/>
          <w:szCs w:val="22"/>
        </w:rPr>
        <w:t>Término para atender los requerimientos</w:t>
      </w:r>
    </w:p>
    <w:p w14:paraId="00000012" w14:textId="77777777" w:rsidR="008C4ED2" w:rsidRPr="000C0FAB" w:rsidRDefault="008C4ED2">
      <w:pPr>
        <w:jc w:val="both"/>
        <w:rPr>
          <w:rFonts w:ascii="Verdana" w:eastAsia="Arial" w:hAnsi="Verdana" w:cs="Arial"/>
          <w:b/>
          <w:sz w:val="22"/>
          <w:szCs w:val="22"/>
        </w:rPr>
      </w:pPr>
    </w:p>
    <w:p w14:paraId="00000013" w14:textId="1B90E3D0" w:rsidR="008C4ED2" w:rsidRPr="000C0FAB" w:rsidRDefault="0072476F">
      <w:pPr>
        <w:jc w:val="both"/>
        <w:rPr>
          <w:rFonts w:ascii="Verdana" w:eastAsia="Arial" w:hAnsi="Verdana" w:cs="Arial"/>
          <w:sz w:val="22"/>
          <w:szCs w:val="22"/>
        </w:rPr>
      </w:pPr>
      <w:bookmarkStart w:id="0" w:name="_heading=h.q1t6dps01dh5" w:colFirst="0" w:colLast="0"/>
      <w:bookmarkEnd w:id="0"/>
      <w:r w:rsidRPr="000C0FAB">
        <w:rPr>
          <w:rFonts w:ascii="Verdana" w:eastAsia="Arial" w:hAnsi="Verdana" w:cs="Arial"/>
          <w:sz w:val="22"/>
          <w:szCs w:val="22"/>
        </w:rPr>
        <w:t xml:space="preserve">El cumplimiento de las órdenes de policía judicial será el establecido por el juez con funciones de control de garantías. </w:t>
      </w:r>
    </w:p>
    <w:p w14:paraId="063F7F97" w14:textId="77777777" w:rsidR="00C03046" w:rsidRPr="000C0FAB" w:rsidRDefault="00C03046">
      <w:pPr>
        <w:jc w:val="both"/>
        <w:rPr>
          <w:rFonts w:ascii="Verdana" w:eastAsia="Arial" w:hAnsi="Verdana" w:cs="Arial"/>
          <w:sz w:val="22"/>
          <w:szCs w:val="22"/>
        </w:rPr>
      </w:pPr>
    </w:p>
    <w:p w14:paraId="00000014" w14:textId="77777777" w:rsidR="008C4ED2" w:rsidRPr="000C0FAB" w:rsidRDefault="008C4ED2">
      <w:pPr>
        <w:jc w:val="both"/>
        <w:rPr>
          <w:rFonts w:ascii="Verdana" w:eastAsia="Arial" w:hAnsi="Verdana" w:cs="Arial"/>
          <w:sz w:val="22"/>
          <w:szCs w:val="22"/>
        </w:rPr>
      </w:pPr>
    </w:p>
    <w:p w14:paraId="1B787D0C" w14:textId="217DDF0A" w:rsidR="00826F61" w:rsidRPr="000C0FAB" w:rsidRDefault="00826F61" w:rsidP="00826F61">
      <w:pPr>
        <w:numPr>
          <w:ilvl w:val="0"/>
          <w:numId w:val="1"/>
        </w:numPr>
        <w:pBdr>
          <w:top w:val="nil"/>
          <w:left w:val="nil"/>
          <w:bottom w:val="nil"/>
          <w:right w:val="nil"/>
          <w:between w:val="nil"/>
        </w:pBdr>
        <w:jc w:val="both"/>
        <w:rPr>
          <w:rFonts w:ascii="Verdana" w:eastAsia="Arial" w:hAnsi="Verdana" w:cs="Arial"/>
          <w:b/>
          <w:color w:val="000000"/>
          <w:sz w:val="22"/>
          <w:szCs w:val="22"/>
        </w:rPr>
      </w:pPr>
      <w:r w:rsidRPr="000C0FAB">
        <w:rPr>
          <w:rFonts w:ascii="Verdana" w:eastAsia="Arial" w:hAnsi="Verdana" w:cs="Arial"/>
          <w:b/>
          <w:color w:val="000000"/>
          <w:sz w:val="22"/>
          <w:szCs w:val="22"/>
        </w:rPr>
        <w:t>Solución de dudas sobre el diligenciamiento de los formatos</w:t>
      </w:r>
    </w:p>
    <w:p w14:paraId="5B0A27C5" w14:textId="77777777" w:rsidR="00826F61" w:rsidRPr="000C0FAB" w:rsidRDefault="00826F61" w:rsidP="00826F61">
      <w:pPr>
        <w:jc w:val="both"/>
        <w:rPr>
          <w:rFonts w:ascii="Verdana" w:eastAsia="Arial" w:hAnsi="Verdana" w:cs="Arial"/>
          <w:sz w:val="22"/>
          <w:szCs w:val="22"/>
        </w:rPr>
      </w:pPr>
    </w:p>
    <w:p w14:paraId="2C1BF691" w14:textId="1DC81E31" w:rsidR="00826F61" w:rsidRPr="000C0FAB" w:rsidRDefault="00826F61" w:rsidP="00826F61">
      <w:pPr>
        <w:jc w:val="both"/>
        <w:rPr>
          <w:rFonts w:ascii="Verdana" w:eastAsia="Arial" w:hAnsi="Verdana" w:cs="Arial"/>
          <w:sz w:val="22"/>
          <w:szCs w:val="22"/>
        </w:rPr>
      </w:pPr>
      <w:r w:rsidRPr="000C0FAB">
        <w:rPr>
          <w:rFonts w:ascii="Verdana" w:eastAsia="Arial" w:hAnsi="Verdana" w:cs="Arial"/>
          <w:sz w:val="22"/>
          <w:szCs w:val="22"/>
        </w:rPr>
        <w:t xml:space="preserve">Las Entidades podrán realizar consultas asociadas a los nuevos formatos mediante envío de correo electrónico a circular.bancos@fiscalia.gov.co que dará respuesta en un plazo de 24 a 48 horas máximo. Así mismo, si presenta inconvenientes para enviar la información a </w:t>
      </w:r>
      <w:r w:rsidRPr="000C0FAB">
        <w:rPr>
          <w:rFonts w:ascii="Verdana" w:eastAsia="Arial" w:hAnsi="Verdana" w:cs="Arial"/>
          <w:sz w:val="22"/>
          <w:szCs w:val="22"/>
        </w:rPr>
        <w:lastRenderedPageBreak/>
        <w:t xml:space="preserve">través del canal </w:t>
      </w:r>
      <w:r w:rsidR="00A55565" w:rsidRPr="000C0FAB">
        <w:rPr>
          <w:rFonts w:ascii="Verdana" w:eastAsia="Arial" w:hAnsi="Verdana" w:cs="Arial"/>
          <w:i/>
          <w:sz w:val="22"/>
          <w:szCs w:val="22"/>
        </w:rPr>
        <w:t>“Fusiondata</w:t>
      </w:r>
      <w:r w:rsidR="00A55565" w:rsidRPr="000C0FAB">
        <w:rPr>
          <w:rFonts w:ascii="Verdana" w:eastAsia="Arial" w:hAnsi="Verdana" w:cs="Arial"/>
          <w:iCs/>
          <w:sz w:val="22"/>
          <w:szCs w:val="22"/>
        </w:rPr>
        <w:t xml:space="preserve">” </w:t>
      </w:r>
      <w:r w:rsidR="004829E7" w:rsidRPr="000C0FAB">
        <w:rPr>
          <w:rFonts w:ascii="Verdana" w:eastAsia="Arial" w:hAnsi="Verdana" w:cs="Arial"/>
          <w:iCs/>
          <w:sz w:val="22"/>
          <w:szCs w:val="22"/>
        </w:rPr>
        <w:t>(Canal definido por la FGN)</w:t>
      </w:r>
      <w:r w:rsidRPr="000C0FAB">
        <w:rPr>
          <w:rFonts w:ascii="Verdana" w:eastAsia="Arial" w:hAnsi="Verdana" w:cs="Arial"/>
          <w:sz w:val="22"/>
          <w:szCs w:val="22"/>
        </w:rPr>
        <w:t xml:space="preserve">, podrá solicitar soporte al correo electrónico </w:t>
      </w:r>
      <w:hyperlink r:id="rId11" w:history="1">
        <w:r w:rsidR="00C03046" w:rsidRPr="000C0FAB">
          <w:rPr>
            <w:rStyle w:val="Hipervnculo"/>
            <w:rFonts w:ascii="Verdana" w:eastAsia="Arial" w:hAnsi="Verdana" w:cs="Arial"/>
            <w:sz w:val="22"/>
            <w:szCs w:val="22"/>
          </w:rPr>
          <w:t>cevap@fiscalia.gov.co</w:t>
        </w:r>
      </w:hyperlink>
      <w:r w:rsidRPr="000C0FAB">
        <w:rPr>
          <w:rFonts w:ascii="Verdana" w:eastAsia="Arial" w:hAnsi="Verdana" w:cs="Arial"/>
          <w:sz w:val="22"/>
          <w:szCs w:val="22"/>
        </w:rPr>
        <w:t>.</w:t>
      </w:r>
    </w:p>
    <w:p w14:paraId="01D9B99D" w14:textId="77777777" w:rsidR="00C03046" w:rsidRPr="000C0FAB" w:rsidRDefault="00C03046" w:rsidP="00826F61">
      <w:pPr>
        <w:jc w:val="both"/>
        <w:rPr>
          <w:rFonts w:ascii="Verdana" w:eastAsia="Arial" w:hAnsi="Verdana" w:cs="Arial"/>
          <w:sz w:val="22"/>
          <w:szCs w:val="22"/>
        </w:rPr>
      </w:pPr>
    </w:p>
    <w:p w14:paraId="41681F3A" w14:textId="0E68336A" w:rsidR="00C03046" w:rsidRPr="000C0FAB" w:rsidRDefault="00C03046" w:rsidP="00826F61">
      <w:pPr>
        <w:jc w:val="both"/>
        <w:rPr>
          <w:rFonts w:ascii="Verdana" w:eastAsia="Arial" w:hAnsi="Verdana" w:cs="Arial"/>
          <w:sz w:val="22"/>
          <w:szCs w:val="22"/>
        </w:rPr>
      </w:pPr>
      <w:r w:rsidRPr="000C0FAB">
        <w:rPr>
          <w:rFonts w:ascii="Verdana" w:eastAsia="Arial" w:hAnsi="Verdana" w:cs="Arial"/>
          <w:sz w:val="22"/>
          <w:szCs w:val="22"/>
        </w:rPr>
        <w:t>La SFC no es administradora del canal de comunicación definido por la FGN para la remisión de información</w:t>
      </w:r>
      <w:r w:rsidR="00957DDC" w:rsidRPr="000C0FAB">
        <w:rPr>
          <w:rFonts w:ascii="Verdana" w:eastAsia="Arial" w:hAnsi="Verdana" w:cs="Arial"/>
          <w:sz w:val="22"/>
          <w:szCs w:val="22"/>
        </w:rPr>
        <w:t xml:space="preserve">. </w:t>
      </w:r>
    </w:p>
    <w:p w14:paraId="00000015" w14:textId="77777777" w:rsidR="008C4ED2" w:rsidRPr="000C0FAB" w:rsidRDefault="008C4ED2">
      <w:pPr>
        <w:jc w:val="both"/>
        <w:rPr>
          <w:rFonts w:ascii="Verdana" w:eastAsia="Arial" w:hAnsi="Verdana" w:cs="Arial"/>
          <w:sz w:val="22"/>
          <w:szCs w:val="22"/>
        </w:rPr>
      </w:pPr>
    </w:p>
    <w:p w14:paraId="00000016" w14:textId="77777777" w:rsidR="008C4ED2" w:rsidRPr="000C0FAB" w:rsidRDefault="0072476F">
      <w:pPr>
        <w:tabs>
          <w:tab w:val="left" w:pos="8310"/>
        </w:tabs>
        <w:rPr>
          <w:rFonts w:ascii="Verdana" w:eastAsia="Arial" w:hAnsi="Verdana" w:cs="Arial"/>
          <w:sz w:val="22"/>
          <w:szCs w:val="22"/>
        </w:rPr>
      </w:pPr>
      <w:r w:rsidRPr="000C0FAB">
        <w:rPr>
          <w:rFonts w:ascii="Verdana" w:eastAsia="Arial" w:hAnsi="Verdana" w:cs="Arial"/>
          <w:sz w:val="22"/>
          <w:szCs w:val="22"/>
        </w:rPr>
        <w:tab/>
      </w:r>
    </w:p>
    <w:sectPr w:rsidR="008C4ED2" w:rsidRPr="000C0FAB">
      <w:headerReference w:type="even" r:id="rId12"/>
      <w:headerReference w:type="default" r:id="rId13"/>
      <w:footerReference w:type="even" r:id="rId14"/>
      <w:footerReference w:type="default" r:id="rId15"/>
      <w:headerReference w:type="first" r:id="rId16"/>
      <w:footerReference w:type="first" r:id="rId17"/>
      <w:pgSz w:w="12240" w:h="18720"/>
      <w:pgMar w:top="1440" w:right="1077" w:bottom="1440" w:left="1077" w:header="720" w:footer="85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CAFB9" w14:textId="77777777" w:rsidR="00324360" w:rsidRDefault="00324360">
      <w:r>
        <w:separator/>
      </w:r>
    </w:p>
  </w:endnote>
  <w:endnote w:type="continuationSeparator" w:id="0">
    <w:p w14:paraId="1E7D9AC3" w14:textId="77777777" w:rsidR="00324360" w:rsidRDefault="00324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F" w14:textId="77777777" w:rsidR="008C4ED2" w:rsidRDefault="008C4ED2">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BB467" w14:textId="77777777" w:rsidR="000C0FAB" w:rsidRPr="000C0FAB" w:rsidRDefault="000C0FAB" w:rsidP="000C0FAB">
    <w:pPr>
      <w:pBdr>
        <w:top w:val="nil"/>
        <w:left w:val="nil"/>
        <w:bottom w:val="nil"/>
        <w:right w:val="nil"/>
        <w:between w:val="nil"/>
      </w:pBdr>
      <w:tabs>
        <w:tab w:val="center" w:pos="4419"/>
        <w:tab w:val="right" w:pos="8838"/>
      </w:tabs>
      <w:rPr>
        <w:rFonts w:ascii="Verdana" w:eastAsia="Arial" w:hAnsi="Verdana" w:cs="Arial"/>
        <w:b/>
        <w:color w:val="000000"/>
        <w:sz w:val="18"/>
        <w:szCs w:val="18"/>
      </w:rPr>
    </w:pPr>
    <w:r w:rsidRPr="000C0FAB">
      <w:rPr>
        <w:rFonts w:ascii="Verdana" w:eastAsia="Arial" w:hAnsi="Verdana" w:cs="Arial"/>
        <w:b/>
        <w:color w:val="000000"/>
        <w:sz w:val="18"/>
        <w:szCs w:val="18"/>
      </w:rPr>
      <w:t xml:space="preserve">Circular </w:t>
    </w:r>
    <w:proofErr w:type="gramStart"/>
    <w:r w:rsidRPr="000C0FAB">
      <w:rPr>
        <w:rFonts w:ascii="Verdana" w:eastAsia="Arial" w:hAnsi="Verdana" w:cs="Arial"/>
        <w:b/>
        <w:color w:val="000000"/>
        <w:sz w:val="18"/>
        <w:szCs w:val="18"/>
      </w:rPr>
      <w:t>Externa  XX</w:t>
    </w:r>
    <w:proofErr w:type="gramEnd"/>
    <w:r w:rsidRPr="000C0FAB">
      <w:rPr>
        <w:rFonts w:ascii="Verdana" w:eastAsia="Arial" w:hAnsi="Verdana" w:cs="Arial"/>
        <w:b/>
        <w:color w:val="000000"/>
        <w:sz w:val="18"/>
        <w:szCs w:val="18"/>
      </w:rPr>
      <w:t xml:space="preserve">  de 2025                                                                                            Página </w:t>
    </w:r>
    <w:r w:rsidRPr="000C0FAB">
      <w:rPr>
        <w:rFonts w:ascii="Verdana" w:eastAsia="Arial" w:hAnsi="Verdana" w:cs="Arial"/>
        <w:b/>
        <w:color w:val="000000"/>
        <w:sz w:val="18"/>
        <w:szCs w:val="18"/>
      </w:rPr>
      <w:fldChar w:fldCharType="begin"/>
    </w:r>
    <w:r w:rsidRPr="000C0FAB">
      <w:rPr>
        <w:rFonts w:ascii="Verdana" w:eastAsia="Arial" w:hAnsi="Verdana" w:cs="Arial"/>
        <w:b/>
        <w:color w:val="000000"/>
        <w:sz w:val="18"/>
        <w:szCs w:val="18"/>
      </w:rPr>
      <w:instrText>PAGE</w:instrText>
    </w:r>
    <w:r w:rsidRPr="000C0FAB">
      <w:rPr>
        <w:rFonts w:ascii="Verdana" w:eastAsia="Arial" w:hAnsi="Verdana" w:cs="Arial"/>
        <w:b/>
        <w:color w:val="000000"/>
        <w:sz w:val="18"/>
        <w:szCs w:val="18"/>
      </w:rPr>
      <w:fldChar w:fldCharType="separate"/>
    </w:r>
    <w:r>
      <w:rPr>
        <w:rFonts w:ascii="Verdana" w:eastAsia="Arial" w:hAnsi="Verdana" w:cs="Arial"/>
        <w:b/>
        <w:color w:val="000000"/>
        <w:sz w:val="18"/>
        <w:szCs w:val="18"/>
      </w:rPr>
      <w:t>1</w:t>
    </w:r>
    <w:r w:rsidRPr="000C0FAB">
      <w:rPr>
        <w:rFonts w:ascii="Verdana" w:eastAsia="Arial" w:hAnsi="Verdana" w:cs="Arial"/>
        <w:b/>
        <w:color w:val="000000"/>
        <w:sz w:val="18"/>
        <w:szCs w:val="18"/>
      </w:rPr>
      <w:fldChar w:fldCharType="end"/>
    </w:r>
    <w:r w:rsidRPr="000C0FAB">
      <w:rPr>
        <w:rFonts w:ascii="Verdana" w:eastAsia="Arial" w:hAnsi="Verdana" w:cs="Arial"/>
        <w:b/>
        <w:color w:val="000000"/>
        <w:sz w:val="18"/>
        <w:szCs w:val="18"/>
      </w:rPr>
      <w:t xml:space="preserve"> de </w:t>
    </w:r>
    <w:r w:rsidRPr="000C0FAB">
      <w:rPr>
        <w:rFonts w:ascii="Verdana" w:eastAsia="Arial" w:hAnsi="Verdana" w:cs="Arial"/>
        <w:b/>
        <w:color w:val="000000"/>
        <w:sz w:val="18"/>
        <w:szCs w:val="18"/>
      </w:rPr>
      <w:fldChar w:fldCharType="begin"/>
    </w:r>
    <w:r w:rsidRPr="000C0FAB">
      <w:rPr>
        <w:rFonts w:ascii="Verdana" w:eastAsia="Arial" w:hAnsi="Verdana" w:cs="Arial"/>
        <w:b/>
        <w:color w:val="000000"/>
        <w:sz w:val="18"/>
        <w:szCs w:val="18"/>
      </w:rPr>
      <w:instrText>NUMPAGES</w:instrText>
    </w:r>
    <w:r w:rsidRPr="000C0FAB">
      <w:rPr>
        <w:rFonts w:ascii="Verdana" w:eastAsia="Arial" w:hAnsi="Verdana" w:cs="Arial"/>
        <w:b/>
        <w:color w:val="000000"/>
        <w:sz w:val="18"/>
        <w:szCs w:val="18"/>
      </w:rPr>
      <w:fldChar w:fldCharType="separate"/>
    </w:r>
    <w:r>
      <w:rPr>
        <w:rFonts w:ascii="Verdana" w:eastAsia="Arial" w:hAnsi="Verdana" w:cs="Arial"/>
        <w:b/>
        <w:color w:val="000000"/>
        <w:sz w:val="18"/>
        <w:szCs w:val="18"/>
      </w:rPr>
      <w:t>2</w:t>
    </w:r>
    <w:r w:rsidRPr="000C0FAB">
      <w:rPr>
        <w:rFonts w:ascii="Verdana" w:eastAsia="Arial" w:hAnsi="Verdana" w:cs="Arial"/>
        <w:b/>
        <w:color w:val="000000"/>
        <w:sz w:val="18"/>
        <w:szCs w:val="18"/>
      </w:rPr>
      <w:fldChar w:fldCharType="end"/>
    </w:r>
  </w:p>
  <w:p w14:paraId="00000020" w14:textId="77777777" w:rsidR="008C4ED2" w:rsidRDefault="008C4ED2">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1" w14:textId="263ABC43" w:rsidR="008C4ED2" w:rsidRPr="000C0FAB" w:rsidRDefault="0072476F">
    <w:pPr>
      <w:pBdr>
        <w:top w:val="nil"/>
        <w:left w:val="nil"/>
        <w:bottom w:val="nil"/>
        <w:right w:val="nil"/>
        <w:between w:val="nil"/>
      </w:pBdr>
      <w:tabs>
        <w:tab w:val="center" w:pos="4419"/>
        <w:tab w:val="right" w:pos="8838"/>
      </w:tabs>
      <w:rPr>
        <w:rFonts w:ascii="Verdana" w:eastAsia="Arial" w:hAnsi="Verdana" w:cs="Arial"/>
        <w:b/>
        <w:color w:val="000000"/>
        <w:sz w:val="18"/>
        <w:szCs w:val="18"/>
      </w:rPr>
    </w:pPr>
    <w:r w:rsidRPr="000C0FAB">
      <w:rPr>
        <w:rFonts w:ascii="Verdana" w:eastAsia="Arial" w:hAnsi="Verdana" w:cs="Arial"/>
        <w:b/>
        <w:color w:val="000000"/>
        <w:sz w:val="18"/>
        <w:szCs w:val="18"/>
      </w:rPr>
      <w:t xml:space="preserve">Circular </w:t>
    </w:r>
    <w:proofErr w:type="gramStart"/>
    <w:r w:rsidRPr="000C0FAB">
      <w:rPr>
        <w:rFonts w:ascii="Verdana" w:eastAsia="Arial" w:hAnsi="Verdana" w:cs="Arial"/>
        <w:b/>
        <w:color w:val="000000"/>
        <w:sz w:val="18"/>
        <w:szCs w:val="18"/>
      </w:rPr>
      <w:t>Externa  XX</w:t>
    </w:r>
    <w:proofErr w:type="gramEnd"/>
    <w:r w:rsidRPr="000C0FAB">
      <w:rPr>
        <w:rFonts w:ascii="Verdana" w:eastAsia="Arial" w:hAnsi="Verdana" w:cs="Arial"/>
        <w:b/>
        <w:color w:val="000000"/>
        <w:sz w:val="18"/>
        <w:szCs w:val="18"/>
      </w:rPr>
      <w:t xml:space="preserve">  de 2025                                                                                            Página </w:t>
    </w:r>
    <w:r w:rsidRPr="000C0FAB">
      <w:rPr>
        <w:rFonts w:ascii="Verdana" w:eastAsia="Arial" w:hAnsi="Verdana" w:cs="Arial"/>
        <w:b/>
        <w:color w:val="000000"/>
        <w:sz w:val="18"/>
        <w:szCs w:val="18"/>
      </w:rPr>
      <w:fldChar w:fldCharType="begin"/>
    </w:r>
    <w:r w:rsidRPr="000C0FAB">
      <w:rPr>
        <w:rFonts w:ascii="Verdana" w:eastAsia="Arial" w:hAnsi="Verdana" w:cs="Arial"/>
        <w:b/>
        <w:color w:val="000000"/>
        <w:sz w:val="18"/>
        <w:szCs w:val="18"/>
      </w:rPr>
      <w:instrText>PAGE</w:instrText>
    </w:r>
    <w:r w:rsidRPr="000C0FAB">
      <w:rPr>
        <w:rFonts w:ascii="Verdana" w:eastAsia="Arial" w:hAnsi="Verdana" w:cs="Arial"/>
        <w:b/>
        <w:color w:val="000000"/>
        <w:sz w:val="18"/>
        <w:szCs w:val="18"/>
      </w:rPr>
      <w:fldChar w:fldCharType="separate"/>
    </w:r>
    <w:r w:rsidR="00826F61" w:rsidRPr="000C0FAB">
      <w:rPr>
        <w:rFonts w:ascii="Verdana" w:eastAsia="Arial" w:hAnsi="Verdana" w:cs="Arial"/>
        <w:b/>
        <w:noProof/>
        <w:color w:val="000000"/>
        <w:sz w:val="18"/>
        <w:szCs w:val="18"/>
      </w:rPr>
      <w:t>1</w:t>
    </w:r>
    <w:r w:rsidRPr="000C0FAB">
      <w:rPr>
        <w:rFonts w:ascii="Verdana" w:eastAsia="Arial" w:hAnsi="Verdana" w:cs="Arial"/>
        <w:b/>
        <w:color w:val="000000"/>
        <w:sz w:val="18"/>
        <w:szCs w:val="18"/>
      </w:rPr>
      <w:fldChar w:fldCharType="end"/>
    </w:r>
    <w:r w:rsidRPr="000C0FAB">
      <w:rPr>
        <w:rFonts w:ascii="Verdana" w:eastAsia="Arial" w:hAnsi="Verdana" w:cs="Arial"/>
        <w:b/>
        <w:color w:val="000000"/>
        <w:sz w:val="18"/>
        <w:szCs w:val="18"/>
      </w:rPr>
      <w:t xml:space="preserve"> de </w:t>
    </w:r>
    <w:r w:rsidRPr="000C0FAB">
      <w:rPr>
        <w:rFonts w:ascii="Verdana" w:eastAsia="Arial" w:hAnsi="Verdana" w:cs="Arial"/>
        <w:b/>
        <w:color w:val="000000"/>
        <w:sz w:val="18"/>
        <w:szCs w:val="18"/>
      </w:rPr>
      <w:fldChar w:fldCharType="begin"/>
    </w:r>
    <w:r w:rsidRPr="000C0FAB">
      <w:rPr>
        <w:rFonts w:ascii="Verdana" w:eastAsia="Arial" w:hAnsi="Verdana" w:cs="Arial"/>
        <w:b/>
        <w:color w:val="000000"/>
        <w:sz w:val="18"/>
        <w:szCs w:val="18"/>
      </w:rPr>
      <w:instrText>NUMPAGES</w:instrText>
    </w:r>
    <w:r w:rsidRPr="000C0FAB">
      <w:rPr>
        <w:rFonts w:ascii="Verdana" w:eastAsia="Arial" w:hAnsi="Verdana" w:cs="Arial"/>
        <w:b/>
        <w:color w:val="000000"/>
        <w:sz w:val="18"/>
        <w:szCs w:val="18"/>
      </w:rPr>
      <w:fldChar w:fldCharType="separate"/>
    </w:r>
    <w:r w:rsidR="00826F61" w:rsidRPr="000C0FAB">
      <w:rPr>
        <w:rFonts w:ascii="Verdana" w:eastAsia="Arial" w:hAnsi="Verdana" w:cs="Arial"/>
        <w:b/>
        <w:noProof/>
        <w:color w:val="000000"/>
        <w:sz w:val="18"/>
        <w:szCs w:val="18"/>
      </w:rPr>
      <w:t>1</w:t>
    </w:r>
    <w:r w:rsidRPr="000C0FAB">
      <w:rPr>
        <w:rFonts w:ascii="Verdana" w:eastAsia="Arial" w:hAnsi="Verdana" w:cs="Arial"/>
        <w:b/>
        <w:color w:val="000000"/>
        <w:sz w:val="18"/>
        <w:szCs w:val="18"/>
      </w:rPr>
      <w:fldChar w:fldCharType="end"/>
    </w:r>
  </w:p>
  <w:p w14:paraId="00000022" w14:textId="77777777" w:rsidR="008C4ED2" w:rsidRPr="000C0FAB" w:rsidRDefault="008C4ED2">
    <w:pPr>
      <w:pBdr>
        <w:top w:val="nil"/>
        <w:left w:val="nil"/>
        <w:bottom w:val="nil"/>
        <w:right w:val="nil"/>
        <w:between w:val="nil"/>
      </w:pBdr>
      <w:tabs>
        <w:tab w:val="center" w:pos="4419"/>
        <w:tab w:val="right" w:pos="8838"/>
      </w:tabs>
      <w:rPr>
        <w:rFonts w:ascii="Verdana" w:hAnsi="Verdana"/>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431F7" w14:textId="77777777" w:rsidR="00324360" w:rsidRDefault="00324360">
      <w:r>
        <w:separator/>
      </w:r>
    </w:p>
  </w:footnote>
  <w:footnote w:type="continuationSeparator" w:id="0">
    <w:p w14:paraId="3692B420" w14:textId="77777777" w:rsidR="00324360" w:rsidRDefault="003243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7" w14:textId="77777777" w:rsidR="008C4ED2" w:rsidRDefault="008C4ED2">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8" w14:textId="77777777" w:rsidR="008C4ED2" w:rsidRDefault="0072476F">
    <w:pPr>
      <w:pBdr>
        <w:top w:val="nil"/>
        <w:left w:val="nil"/>
        <w:bottom w:val="nil"/>
        <w:right w:val="nil"/>
        <w:between w:val="nil"/>
      </w:pBdr>
      <w:tabs>
        <w:tab w:val="center" w:pos="4419"/>
        <w:tab w:val="right" w:pos="8838"/>
      </w:tabs>
      <w:jc w:val="center"/>
      <w:rPr>
        <w:rFonts w:ascii="Arial" w:eastAsia="Arial" w:hAnsi="Arial" w:cs="Arial"/>
        <w:b/>
        <w:color w:val="000000"/>
      </w:rPr>
    </w:pPr>
    <w:r>
      <w:rPr>
        <w:rFonts w:ascii="Arial" w:eastAsia="Arial" w:hAnsi="Arial" w:cs="Arial"/>
        <w:b/>
        <w:color w:val="000000"/>
      </w:rPr>
      <w:t>SUPERINTENDENCIA FINANCIERA DE COLOMBIA</w:t>
    </w:r>
  </w:p>
  <w:p w14:paraId="00000019" w14:textId="77777777" w:rsidR="008C4ED2" w:rsidRDefault="008C4ED2">
    <w:pPr>
      <w:pBdr>
        <w:top w:val="nil"/>
        <w:left w:val="nil"/>
        <w:bottom w:val="nil"/>
        <w:right w:val="nil"/>
        <w:between w:val="nil"/>
      </w:pBdr>
      <w:tabs>
        <w:tab w:val="center" w:pos="4419"/>
        <w:tab w:val="right" w:pos="8838"/>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A" w14:textId="77777777" w:rsidR="008C4ED2" w:rsidRPr="000C0FAB" w:rsidRDefault="0072476F">
    <w:pPr>
      <w:spacing w:after="154"/>
      <w:ind w:right="250"/>
      <w:jc w:val="center"/>
      <w:rPr>
        <w:rFonts w:ascii="Verdana" w:hAnsi="Verdana"/>
        <w:color w:val="000000"/>
        <w:sz w:val="22"/>
        <w:szCs w:val="22"/>
      </w:rPr>
    </w:pPr>
    <w:r w:rsidRPr="000C0FAB">
      <w:rPr>
        <w:rFonts w:ascii="Verdana" w:eastAsia="Arial" w:hAnsi="Verdana" w:cs="Arial"/>
        <w:b/>
        <w:color w:val="000000"/>
        <w:sz w:val="22"/>
        <w:szCs w:val="22"/>
      </w:rPr>
      <w:t xml:space="preserve">SUPERINTENDENCIA FINANCIERA DE COLOMBIA </w:t>
    </w:r>
  </w:p>
  <w:p w14:paraId="0000001B" w14:textId="77777777" w:rsidR="008C4ED2" w:rsidRPr="000C0FAB" w:rsidRDefault="0072476F">
    <w:pPr>
      <w:spacing w:after="154"/>
      <w:ind w:left="187"/>
      <w:jc w:val="center"/>
      <w:rPr>
        <w:rFonts w:ascii="Verdana" w:hAnsi="Verdana"/>
        <w:color w:val="000000"/>
        <w:sz w:val="22"/>
        <w:szCs w:val="22"/>
      </w:rPr>
    </w:pPr>
    <w:r w:rsidRPr="000C0FAB">
      <w:rPr>
        <w:rFonts w:ascii="Verdana" w:eastAsia="Arial" w:hAnsi="Verdana" w:cs="Arial"/>
        <w:b/>
        <w:color w:val="000000"/>
        <w:sz w:val="22"/>
        <w:szCs w:val="22"/>
      </w:rPr>
      <w:t xml:space="preserve"> </w:t>
    </w:r>
  </w:p>
  <w:p w14:paraId="0000001C" w14:textId="77777777" w:rsidR="008C4ED2" w:rsidRPr="000C0FAB" w:rsidRDefault="0072476F">
    <w:pPr>
      <w:ind w:right="21"/>
      <w:jc w:val="both"/>
      <w:rPr>
        <w:rFonts w:ascii="Verdana" w:eastAsia="Arial" w:hAnsi="Verdana" w:cs="Arial"/>
        <w:b/>
        <w:color w:val="000000"/>
        <w:sz w:val="22"/>
        <w:szCs w:val="22"/>
      </w:rPr>
    </w:pPr>
    <w:r w:rsidRPr="000C0FAB">
      <w:rPr>
        <w:rFonts w:ascii="Verdana" w:eastAsia="Arial" w:hAnsi="Verdana" w:cs="Arial"/>
        <w:b/>
        <w:color w:val="000000"/>
        <w:sz w:val="22"/>
        <w:szCs w:val="22"/>
      </w:rPr>
      <w:t xml:space="preserve">ANEXO 0: INSTRUCTIVO PARA LA REMISIÓN DE INFORMACIÓN POR PARTE DE LOS ESTABLECIMIENTOS BANCARIOS VIGILADOS POR LA SUPERINTENDENCIA FINANCIERA DE COLOMBIA A LA FISCALÍA GENERAL DE LA NACIÓN </w:t>
    </w:r>
  </w:p>
  <w:p w14:paraId="0000001E" w14:textId="77777777" w:rsidR="008C4ED2" w:rsidRDefault="008C4ED2">
    <w:pPr>
      <w:pBdr>
        <w:top w:val="nil"/>
        <w:left w:val="nil"/>
        <w:bottom w:val="nil"/>
        <w:right w:val="nil"/>
        <w:between w:val="nil"/>
      </w:pBdr>
      <w:tabs>
        <w:tab w:val="center" w:pos="4419"/>
        <w:tab w:val="right" w:pos="8838"/>
      </w:tabs>
      <w:jc w:val="center"/>
      <w:rPr>
        <w:rFonts w:ascii="Arial" w:eastAsia="Arial" w:hAnsi="Arial" w:cs="Arial"/>
        <w:b/>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717A6C"/>
    <w:multiLevelType w:val="multilevel"/>
    <w:tmpl w:val="C980C1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77965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D2"/>
    <w:rsid w:val="00021410"/>
    <w:rsid w:val="000C0FAB"/>
    <w:rsid w:val="00124163"/>
    <w:rsid w:val="0014104A"/>
    <w:rsid w:val="00181701"/>
    <w:rsid w:val="002C6F0E"/>
    <w:rsid w:val="002D4858"/>
    <w:rsid w:val="002E64F9"/>
    <w:rsid w:val="003167DC"/>
    <w:rsid w:val="00324360"/>
    <w:rsid w:val="003C0052"/>
    <w:rsid w:val="003E6424"/>
    <w:rsid w:val="004829E7"/>
    <w:rsid w:val="00484AA2"/>
    <w:rsid w:val="00492FE6"/>
    <w:rsid w:val="004D0821"/>
    <w:rsid w:val="00556236"/>
    <w:rsid w:val="0057140B"/>
    <w:rsid w:val="00581854"/>
    <w:rsid w:val="00596646"/>
    <w:rsid w:val="005C61DF"/>
    <w:rsid w:val="00631068"/>
    <w:rsid w:val="006427B1"/>
    <w:rsid w:val="0065200B"/>
    <w:rsid w:val="00676374"/>
    <w:rsid w:val="006D1A4E"/>
    <w:rsid w:val="0072476F"/>
    <w:rsid w:val="00727497"/>
    <w:rsid w:val="00733750"/>
    <w:rsid w:val="008262B7"/>
    <w:rsid w:val="00826F61"/>
    <w:rsid w:val="008804ED"/>
    <w:rsid w:val="008C4ED2"/>
    <w:rsid w:val="009122CD"/>
    <w:rsid w:val="00913427"/>
    <w:rsid w:val="00922F70"/>
    <w:rsid w:val="00937C45"/>
    <w:rsid w:val="00957DDC"/>
    <w:rsid w:val="009C2B6E"/>
    <w:rsid w:val="00A55565"/>
    <w:rsid w:val="00B25DCE"/>
    <w:rsid w:val="00C03046"/>
    <w:rsid w:val="00D029A8"/>
    <w:rsid w:val="00D3634B"/>
    <w:rsid w:val="00DB022B"/>
    <w:rsid w:val="00E00185"/>
    <w:rsid w:val="00E42EEC"/>
    <w:rsid w:val="00E92894"/>
    <w:rsid w:val="00EB05B7"/>
    <w:rsid w:val="00F57857"/>
    <w:rsid w:val="00FD3DC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927D0"/>
  <w15:docId w15:val="{53A7A783-38CE-497A-A8DF-D9ABABBCE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ES"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57F"/>
    <w:rPr>
      <w:lang w:eastAsia="es-ES"/>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rsid w:val="00E3557F"/>
    <w:pPr>
      <w:tabs>
        <w:tab w:val="center" w:pos="4419"/>
        <w:tab w:val="right" w:pos="8838"/>
      </w:tabs>
    </w:pPr>
  </w:style>
  <w:style w:type="character" w:customStyle="1" w:styleId="EncabezadoCar">
    <w:name w:val="Encabezado Car"/>
    <w:basedOn w:val="Fuentedeprrafopredeter"/>
    <w:link w:val="Encabezado"/>
    <w:uiPriority w:val="99"/>
    <w:rsid w:val="00E3557F"/>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E3557F"/>
    <w:pPr>
      <w:tabs>
        <w:tab w:val="center" w:pos="4419"/>
        <w:tab w:val="right" w:pos="8838"/>
      </w:tabs>
    </w:pPr>
  </w:style>
  <w:style w:type="character" w:customStyle="1" w:styleId="PiedepginaCar">
    <w:name w:val="Pie de página Car"/>
    <w:basedOn w:val="Fuentedeprrafopredeter"/>
    <w:link w:val="Piedepgina"/>
    <w:uiPriority w:val="99"/>
    <w:rsid w:val="00E3557F"/>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semiHidden/>
    <w:unhideWhenUsed/>
    <w:rsid w:val="00E3557F"/>
    <w:rPr>
      <w:sz w:val="16"/>
      <w:szCs w:val="16"/>
    </w:rPr>
  </w:style>
  <w:style w:type="paragraph" w:styleId="Textocomentario">
    <w:name w:val="annotation text"/>
    <w:basedOn w:val="Normal"/>
    <w:link w:val="TextocomentarioCar"/>
    <w:uiPriority w:val="99"/>
    <w:unhideWhenUsed/>
    <w:rsid w:val="00E3557F"/>
    <w:rPr>
      <w:sz w:val="20"/>
      <w:szCs w:val="20"/>
    </w:rPr>
  </w:style>
  <w:style w:type="character" w:customStyle="1" w:styleId="TextocomentarioCar">
    <w:name w:val="Texto comentario Car"/>
    <w:basedOn w:val="Fuentedeprrafopredeter"/>
    <w:link w:val="Textocomentario"/>
    <w:uiPriority w:val="99"/>
    <w:rsid w:val="00E3557F"/>
    <w:rPr>
      <w:rFonts w:ascii="Times New Roman" w:eastAsia="Times New Roman" w:hAnsi="Times New Roman" w:cs="Times New Roman"/>
      <w:sz w:val="20"/>
      <w:szCs w:val="20"/>
      <w:lang w:val="es-ES" w:eastAsia="es-ES"/>
    </w:rPr>
  </w:style>
  <w:style w:type="character" w:styleId="Hipervnculo">
    <w:name w:val="Hyperlink"/>
    <w:basedOn w:val="Fuentedeprrafopredeter"/>
    <w:uiPriority w:val="99"/>
    <w:unhideWhenUsed/>
    <w:rsid w:val="00E3557F"/>
    <w:rPr>
      <w:color w:val="0563C1" w:themeColor="hyperlink"/>
      <w:u w:val="single"/>
    </w:rPr>
  </w:style>
  <w:style w:type="paragraph" w:styleId="Textodeglobo">
    <w:name w:val="Balloon Text"/>
    <w:basedOn w:val="Normal"/>
    <w:link w:val="TextodegloboCar"/>
    <w:uiPriority w:val="99"/>
    <w:semiHidden/>
    <w:unhideWhenUsed/>
    <w:rsid w:val="00E3557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3557F"/>
    <w:rPr>
      <w:rFonts w:ascii="Segoe UI" w:eastAsia="Times New Roman" w:hAnsi="Segoe UI" w:cs="Segoe UI"/>
      <w:sz w:val="18"/>
      <w:szCs w:val="18"/>
      <w:lang w:val="es-ES" w:eastAsia="es-ES"/>
    </w:rPr>
  </w:style>
  <w:style w:type="character" w:customStyle="1" w:styleId="Mencinsinresolver1">
    <w:name w:val="Mención sin resolver1"/>
    <w:basedOn w:val="Fuentedeprrafopredeter"/>
    <w:uiPriority w:val="99"/>
    <w:semiHidden/>
    <w:unhideWhenUsed/>
    <w:rsid w:val="001C7AB4"/>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207310"/>
    <w:rPr>
      <w:b/>
      <w:bCs/>
    </w:rPr>
  </w:style>
  <w:style w:type="character" w:customStyle="1" w:styleId="AsuntodelcomentarioCar">
    <w:name w:val="Asunto del comentario Car"/>
    <w:basedOn w:val="TextocomentarioCar"/>
    <w:link w:val="Asuntodelcomentario"/>
    <w:uiPriority w:val="99"/>
    <w:semiHidden/>
    <w:rsid w:val="00207310"/>
    <w:rPr>
      <w:rFonts w:ascii="Times New Roman" w:eastAsia="Times New Roman" w:hAnsi="Times New Roman" w:cs="Times New Roman"/>
      <w:b/>
      <w:bCs/>
      <w:sz w:val="20"/>
      <w:szCs w:val="20"/>
      <w:lang w:val="es-ES" w:eastAsia="es-ES"/>
    </w:rPr>
  </w:style>
  <w:style w:type="paragraph" w:styleId="Prrafodelista">
    <w:name w:val="List Paragraph"/>
    <w:basedOn w:val="Normal"/>
    <w:uiPriority w:val="34"/>
    <w:qFormat/>
    <w:rsid w:val="006A37A9"/>
    <w:pPr>
      <w:ind w:left="720"/>
      <w:contextualSpacing/>
    </w:pPr>
  </w:style>
  <w:style w:type="paragraph" w:customStyle="1" w:styleId="paragraph">
    <w:name w:val="paragraph"/>
    <w:basedOn w:val="Normal"/>
    <w:rsid w:val="009D0698"/>
    <w:pPr>
      <w:spacing w:before="100" w:beforeAutospacing="1" w:after="100" w:afterAutospacing="1"/>
    </w:pPr>
    <w:rPr>
      <w:lang w:val="es-CO" w:eastAsia="es-CO"/>
    </w:rPr>
  </w:style>
  <w:style w:type="character" w:customStyle="1" w:styleId="Mencinsinresolver2">
    <w:name w:val="Mención sin resolver2"/>
    <w:basedOn w:val="Fuentedeprrafopredeter"/>
    <w:uiPriority w:val="99"/>
    <w:semiHidden/>
    <w:unhideWhenUsed/>
    <w:rsid w:val="00185FDD"/>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Revisin">
    <w:name w:val="Revision"/>
    <w:hidden/>
    <w:uiPriority w:val="99"/>
    <w:semiHidden/>
    <w:rsid w:val="00581854"/>
    <w:rPr>
      <w:lang w:eastAsia="es-ES"/>
    </w:rPr>
  </w:style>
  <w:style w:type="character" w:styleId="Mencinsinresolver">
    <w:name w:val="Unresolved Mention"/>
    <w:basedOn w:val="Fuentedeprrafopredeter"/>
    <w:uiPriority w:val="99"/>
    <w:semiHidden/>
    <w:unhideWhenUsed/>
    <w:rsid w:val="00C030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vap@fiscalia.gov.c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ULgPys4Jzg6oC1HbAcqRRY+OIA==">CgMxLjAyDmgucTF0NmRwczAxZGg1OABqVQo1c3VnZ2VzdElkSW1wb3J0YzE5NjczYzktMTUyNy00M2IwLWJjYjktNGIxMDBmYTU2ZTM5XzESHERlbGVnYWRhIEZpbmFuemFzIENyaW1pbmFsZXNyITFpWTN6SWVrLXZHVXdQdndPbDlMbTdLSHdZLW1jY1VPTw==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3F290EDD85D54448945021AB426BB1AA" ma:contentTypeVersion="3" ma:contentTypeDescription="Create a new document." ma:contentTypeScope="" ma:versionID="f134d41051c10ab3a1bbb930b02d3b6a">
  <xsd:schema xmlns:xsd="http://www.w3.org/2001/XMLSchema" xmlns:xs="http://www.w3.org/2001/XMLSchema" xmlns:p="http://schemas.microsoft.com/office/2006/metadata/properties" xmlns:ns2="2a2b5300-3ccb-49f7-9f7a-17baa5e872e9" targetNamespace="http://schemas.microsoft.com/office/2006/metadata/properties" ma:root="true" ma:fieldsID="7e9b3a6b95ebbe6ef51de603c4af8a6b" ns2:_="">
    <xsd:import namespace="2a2b5300-3ccb-49f7-9f7a-17baa5e872e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b5300-3ccb-49f7-9f7a-17baa5e872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20751C5-9FF7-4D4C-AED6-6E7A1C8BE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b5300-3ccb-49f7-9f7a-17baa5e872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617E89-1F42-43FB-9D70-E988F5E51399}">
  <ds:schemaRefs>
    <ds:schemaRef ds:uri="http://schemas.microsoft.com/sharepoint/v3/contenttype/forms"/>
  </ds:schemaRefs>
</ds:datastoreItem>
</file>

<file path=customXml/itemProps4.xml><?xml version="1.0" encoding="utf-8"?>
<ds:datastoreItem xmlns:ds="http://schemas.openxmlformats.org/officeDocument/2006/customXml" ds:itemID="{2B50DD0B-DFAA-447B-8BCB-5C8038FBCEE5}">
  <ds:schemaRefs>
    <ds:schemaRef ds:uri="http://schemas.microsoft.com/office/2006/documentManagement/types"/>
    <ds:schemaRef ds:uri="http://purl.org/dc/dcmitype/"/>
    <ds:schemaRef ds:uri="http://www.w3.org/XML/1998/namespace"/>
    <ds:schemaRef ds:uri="http://purl.org/dc/terms/"/>
    <ds:schemaRef ds:uri="http://schemas.openxmlformats.org/package/2006/metadata/core-properties"/>
    <ds:schemaRef ds:uri="http://schemas.microsoft.com/office/infopath/2007/PartnerControls"/>
    <ds:schemaRef ds:uri="http://schemas.microsoft.com/office/2006/metadata/properties"/>
    <ds:schemaRef ds:uri="2a2b5300-3ccb-49f7-9f7a-17baa5e872e9"/>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487</Words>
  <Characters>2684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Jairo Bejarano</dc:creator>
  <cp:lastModifiedBy>Superintendencia Financiera de Colombia</cp:lastModifiedBy>
  <cp:revision>22</cp:revision>
  <dcterms:created xsi:type="dcterms:W3CDTF">2025-08-20T21:19:00Z</dcterms:created>
  <dcterms:modified xsi:type="dcterms:W3CDTF">2025-08-22T15:25:00Z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0x0101003F290EDD85D54448945021AB426BB1AA</vt:lpwstr>
  </property>
</Properties>
</file>